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B7622"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HOJA DE DATOS DE SEGURIDAD (MSDS) AGUA DESMINERALIZADA </w:t>
      </w:r>
    </w:p>
    <w:p w14:paraId="76EFB1D7"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64868DD9"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1: PRODUCTO QUIMICO E IDENTIFICACION DE LA EMPRESA Nombre Comercial: Agua Desmineralizada Nombre Químico: Agua Desmineralizada Empresa: </w:t>
      </w:r>
      <w:r>
        <w:rPr>
          <w:rFonts w:ascii="Source Sans Pro Light" w:hAnsi="Source Sans Pro Light"/>
          <w:sz w:val="24"/>
          <w:szCs w:val="24"/>
        </w:rPr>
        <w:t>Grupo FAREI, S.A. de C.V.,</w:t>
      </w:r>
      <w:r w:rsidRPr="00537A96">
        <w:rPr>
          <w:rFonts w:ascii="Source Sans Pro Light" w:hAnsi="Source Sans Pro Light"/>
          <w:sz w:val="24"/>
          <w:szCs w:val="24"/>
        </w:rPr>
        <w:t xml:space="preserve"> Dirección: </w:t>
      </w:r>
      <w:r>
        <w:rPr>
          <w:rFonts w:ascii="Source Sans Pro Light" w:hAnsi="Source Sans Pro Light"/>
          <w:sz w:val="24"/>
          <w:szCs w:val="24"/>
        </w:rPr>
        <w:t>Norte 25 #128 Col. Moctezuma 2ª. Secc. CDMX</w:t>
      </w:r>
      <w:r w:rsidRPr="00537A96">
        <w:rPr>
          <w:rFonts w:ascii="Source Sans Pro Light" w:hAnsi="Source Sans Pro Light"/>
          <w:sz w:val="24"/>
          <w:szCs w:val="24"/>
        </w:rPr>
        <w:t xml:space="preserve"> Tel.</w:t>
      </w:r>
      <w:r>
        <w:rPr>
          <w:rFonts w:ascii="Source Sans Pro Light" w:hAnsi="Source Sans Pro Light"/>
          <w:sz w:val="24"/>
          <w:szCs w:val="24"/>
        </w:rPr>
        <w:t xml:space="preserve"> 55 7261 0875</w:t>
      </w:r>
      <w:r w:rsidRPr="00537A96">
        <w:rPr>
          <w:rFonts w:ascii="Source Sans Pro Light" w:hAnsi="Source Sans Pro Light"/>
          <w:sz w:val="24"/>
          <w:szCs w:val="24"/>
        </w:rPr>
        <w:t xml:space="preserve"> Fórmula Química: H2O USOS DEL PRODUCTO: como agua de alimentación a calderas, análisis de laboratorio,</w:t>
      </w:r>
      <w:r>
        <w:rPr>
          <w:rFonts w:ascii="Source Sans Pro Light" w:hAnsi="Source Sans Pro Light"/>
          <w:sz w:val="24"/>
          <w:szCs w:val="24"/>
        </w:rPr>
        <w:t xml:space="preserve"> </w:t>
      </w:r>
      <w:r w:rsidRPr="00537A96">
        <w:rPr>
          <w:rFonts w:ascii="Source Sans Pro Light" w:hAnsi="Source Sans Pro Light"/>
          <w:sz w:val="24"/>
          <w:szCs w:val="24"/>
        </w:rPr>
        <w:t xml:space="preserve">usos farmacéuticos, usos alimenticios y usos industriales. </w:t>
      </w:r>
    </w:p>
    <w:p w14:paraId="18FCAAB5"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302D924F"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2: INFORMACION DE LOS COMPONENTES % (en peso) Agua 100% PH 5.5 - 7.5 Sabor: Insípido Olor: incoloro Dureza total 0 – 1 Ppm Unidades deCaCo3 Conductividad 0 – 1 MicroS/cm </w:t>
      </w:r>
    </w:p>
    <w:p w14:paraId="5F52AF26"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02162577"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3: IDENTIFICACION DE LOS RIESGOS </w:t>
      </w:r>
    </w:p>
    <w:p w14:paraId="26A805D9"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16F5117B" w14:textId="77777777" w:rsidR="002F0BFD"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EFECTOS POTENCIALES INMEDIATOS A LA SALUD Contacto con los ojos: Puede presentarse individuos alérgicos presentando irritación. Contacto con la piel: Puede presentarse individuos alérgicos presentando irritación. Ingestión: No ingerir por cuanto puede reducir el nivel de electrolitos de la sangre. Puede producir mareos y vómito. Inhalación: No existe riesgo de intoxicación por inhalación. La producción de vapores es mínima. SECCION 4. MEDIDAS DE PRIMEROS AUXILIOS Contacto con los ojos: De ninguna manera se intentará realizar una neutralización en el ojo Lave inmediatamente los ojos con agua corriente por lo menos durante 5 minutos,</w:t>
      </w:r>
      <w:r>
        <w:rPr>
          <w:rFonts w:ascii="Source Sans Pro Light" w:hAnsi="Source Sans Pro Light"/>
          <w:sz w:val="24"/>
          <w:szCs w:val="24"/>
        </w:rPr>
        <w:t xml:space="preserve"> </w:t>
      </w:r>
      <w:r w:rsidRPr="00537A96">
        <w:rPr>
          <w:rFonts w:ascii="Source Sans Pro Light" w:hAnsi="Source Sans Pro Light"/>
          <w:sz w:val="24"/>
          <w:szCs w:val="24"/>
        </w:rPr>
        <w:t>levantando los párpados para asegurar la remoción del producto.  Contacto con la piel: Remueva la ropa contaminada. Lave la piel con agua de acueducto y jabón por lo menos durante 5 minutos. Ingestión: Si el paciente está consciente dele a beber dos vasos de agua y bebidas hidratantes. NO INDUZCA AL VOMITO. Obtenga atención médica. Inhalación: No existe riesgo de intoxicación por inhalación. La producción de vapores es mínima.</w:t>
      </w:r>
    </w:p>
    <w:p w14:paraId="52AC5647"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5. MEDIDAS EN CASO DE DERRAMES Procedimientos y precauciones especiales en caso de fuga o derrame: Producto sin riesgo. Seque el piso con material absorbente. Es un producto biodegradable y puede ser vertido a los desagües. </w:t>
      </w:r>
    </w:p>
    <w:p w14:paraId="3876BD48"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3E4844AE"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6. MEDIDAS DE LUCHA CONTRA EL FUEGO Y EXPLOSIÓN Propiedades combustibles: Este material no es combustible. Productos de combustión peligrosa: Este material no es combustible. Peligro de fuego / explosión: No se ha reportado ninguno. Fogonazo Electricidad Estática: No se ha reportado ninguno. Impacto Físico: No se ha reportado ninguno. Tipos de extinguidores: Use los medios adecuados para las condiciones del fuego que lo rodea. No Debe Usarse un Medio Extinguidor: No es pertinente en este caso Instrucciones para combatir su combustión: Como con todo fuego, use respiradores autónomos </w:t>
      </w:r>
      <w:r w:rsidRPr="00537A96">
        <w:rPr>
          <w:rFonts w:ascii="Source Sans Pro Light" w:hAnsi="Source Sans Pro Light"/>
          <w:sz w:val="24"/>
          <w:szCs w:val="24"/>
        </w:rPr>
        <w:lastRenderedPageBreak/>
        <w:t xml:space="preserve">con demanda de presión y ropa protectora completa. Evacúe el área, y combata el fuego desde una distancia prudente. </w:t>
      </w:r>
    </w:p>
    <w:p w14:paraId="757F92A9"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3A2A5A3A"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7. MANEJO Y ALMACENAMIENTO MANIPULACION No lo ingiera. Manténgase el envase adecuadamente cerrado. Manténgase fuera del alcance de los niños. ALMACENAMIENTO Almacenar en un envase plástico preferiblemente en un sitio cubierto y fresco. Evite el daño físico del envase. Evite almacenarlo a la intemperie. </w:t>
      </w:r>
    </w:p>
    <w:p w14:paraId="05D42E3A"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37FE21AA"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8. CONTROLES DE EXPOSICIÓN / PROTECCIÓN PERSONAL CONTROLES DE INGENIERÍA Ventilación local, duchas y lava ojos. EQUIPO DE PROTECCIÓN PERSONAL Usar ropa de trabajo normal. No requiere ningún tipo de medidas preventivas. MEDIDAS DE HIGIENE Lavarse cuidadosamente las manos al terminar el trabajo. </w:t>
      </w:r>
    </w:p>
    <w:p w14:paraId="2B5E523F"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5C860C68"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9. PROPIEDADES FÍSICAS Y QUÍMICAS ESTADO FÍSICO Y APARIENCIA: Líquido transparente, incoloro, inodoro. pH al 100% 7 TEMPERATURA CRÍTICA No disponible DENSIDAD (20ºC) 1g/cm3 VISCOSIDAD NA PRESIÓN DE VAPOR N.D.  VELOCIDAD DE EVAPORACIÓN N.D. SOLUBILIDAD EN AGUA Completa </w:t>
      </w:r>
    </w:p>
    <w:p w14:paraId="1D96E39A"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40A63B0D"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SECCION 10. ESTABILIDAD Y REACTIVIDAD Estabilidad química: Estable cuando se almacena en las condiciones apropiadas. Condiciones que deben evitarse: No es pertinente en este caso Reactividad / incompatibilidad: No se ha reportado ninguno Descomposición peligrosa: No se ha reportado ninguno Polimerización peligrosa: No sucederá</w:t>
      </w:r>
    </w:p>
    <w:p w14:paraId="44342CBA"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11. INFORMACIÓN TOXICOLÓGICA No hay estudios relacionados. Para análisis tomar como referencia sección II – materiales peligrosos. Se reporta Limite de exposición permisible (PEL) de OSHA y Valor Umbral limite (TLV) Expresada en concentración máxima ponderada (TWA) para trabajos de 8 horas. No se conocen estudios de la mezcla. Es negativo por carcinogenicidad, mutagenicidad, epidemiología, efectos reproductivos, teratogenicidad, embriotoxicidad o neurotoxicidad. </w:t>
      </w:r>
    </w:p>
    <w:p w14:paraId="20A4AE98"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68CABA95"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12. INFORMACIÓN SOBRE ECOLOGÍA Producto biodegradable. </w:t>
      </w:r>
    </w:p>
    <w:p w14:paraId="4464DD44"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6C894C32"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13. CONSIDERACIONES PARA LA DISPOSICIÓN FINAL El producto es biodegradable y puede ser vertido a los desagües. </w:t>
      </w:r>
    </w:p>
    <w:p w14:paraId="6A3D19D7"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lastRenderedPageBreak/>
        <w:t xml:space="preserve"> </w:t>
      </w:r>
    </w:p>
    <w:p w14:paraId="45153ABA"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14. INFORMACIÓN SOBRE EL TRANSPORTE TIPO DE RIESGO: Ninguno. </w:t>
      </w:r>
    </w:p>
    <w:p w14:paraId="5A7AC171"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325BFE05"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Rombo NFPA Blanco: Notas especiales ------- Azul: Riesgo a la Salud 0: Mínimo Rojo: Riesgo de Inflamabilidad 0: Mínimo Amarillo: Riesgo de Reactividad 0: Mínimo </w:t>
      </w:r>
    </w:p>
    <w:p w14:paraId="0E2CC3DC"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666291AE"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SECCION 15. INFORMACIÓN REGULATORIA Todas las acciones relacionadas con el uso, manipulación y disposición del producto, deben llevarse a cabo de acuerdo con las reglamentaciones locales, nacionales y de ser necesario con las internacionales existentes. </w:t>
      </w:r>
    </w:p>
    <w:p w14:paraId="6E7BBA57"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1BA89EA8"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SECCION 16. INFORMACIÓN ADICIONAL Abreviaturas Usadas: PEL: Límite de exposición permisible definido por OSHA. Rating NFPA: Rombo o valores de peligrosidad para salud, inflamabilidad y reactividad según la Asociación Nacional de Protección contra el Fuego de Estados Unidos. TLV: Valor límite umbral. Expresa la máxima concentración de un material en el aire a la cual se puede permitir la exposición de los trabajadores sin ocasionar efectos adversos. TWA:</w:t>
      </w:r>
      <w:r>
        <w:rPr>
          <w:rFonts w:ascii="Source Sans Pro Light" w:hAnsi="Source Sans Pro Light"/>
          <w:sz w:val="24"/>
          <w:szCs w:val="24"/>
        </w:rPr>
        <w:t xml:space="preserve"> </w:t>
      </w:r>
      <w:r w:rsidRPr="00537A96">
        <w:rPr>
          <w:rFonts w:ascii="Source Sans Pro Light" w:hAnsi="Source Sans Pro Light"/>
          <w:sz w:val="24"/>
          <w:szCs w:val="24"/>
        </w:rPr>
        <w:t xml:space="preserve">Concentración máxima ponderada de un material en el aire, para trabajos de 8 horas diarias y 40 horas a la semana. </w:t>
      </w:r>
    </w:p>
    <w:p w14:paraId="2EDB6108" w14:textId="77777777" w:rsidR="00537A96" w:rsidRPr="00537A96" w:rsidRDefault="00537A96" w:rsidP="00537A96">
      <w:pPr>
        <w:jc w:val="both"/>
        <w:rPr>
          <w:rFonts w:ascii="Source Sans Pro Light" w:hAnsi="Source Sans Pro Light"/>
          <w:sz w:val="24"/>
          <w:szCs w:val="24"/>
        </w:rPr>
      </w:pPr>
      <w:r w:rsidRPr="00537A96">
        <w:rPr>
          <w:rFonts w:ascii="Source Sans Pro Light" w:hAnsi="Source Sans Pro Light"/>
          <w:sz w:val="24"/>
          <w:szCs w:val="24"/>
        </w:rPr>
        <w:t xml:space="preserve"> </w:t>
      </w:r>
    </w:p>
    <w:p w14:paraId="31264D1E" w14:textId="77777777" w:rsidR="00537A96" w:rsidRPr="00537A96" w:rsidRDefault="00537A96" w:rsidP="00537A96">
      <w:pPr>
        <w:jc w:val="both"/>
        <w:rPr>
          <w:rFonts w:ascii="Source Sans Pro Light" w:hAnsi="Source Sans Pro Light"/>
          <w:sz w:val="24"/>
          <w:szCs w:val="24"/>
        </w:rPr>
      </w:pPr>
      <w:r>
        <w:rPr>
          <w:rFonts w:ascii="Source Sans Pro Light" w:hAnsi="Source Sans Pro Light"/>
          <w:sz w:val="24"/>
          <w:szCs w:val="24"/>
        </w:rPr>
        <w:t>Grupo FAREI, S.A. de C.V.,</w:t>
      </w:r>
      <w:r w:rsidRPr="00537A96">
        <w:rPr>
          <w:rFonts w:ascii="Source Sans Pro Light" w:hAnsi="Source Sans Pro Light"/>
          <w:sz w:val="24"/>
          <w:szCs w:val="24"/>
        </w:rPr>
        <w:t xml:space="preserve"> proporciona la información contenida aquí de buena fe, sin embargo, no hace ninguna representación en cuanto a su integridad o exactitud. Es intención que se utilice este documento sólo como una guía para el manejo del material con la precaución apropiada, por una persona adecuadamente capacitada en el uso de este producto. Los individuos que reciban la información deben ejercer su juicio independiente al determinar la conveniencia del producto para un uso particular.</w:t>
      </w:r>
    </w:p>
    <w:sectPr w:rsidR="00537A96" w:rsidRPr="00537A96" w:rsidSect="00537A96">
      <w:pgSz w:w="12240" w:h="15840"/>
      <w:pgMar w:top="1531" w:right="567"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96"/>
    <w:rsid w:val="002F0BFD"/>
    <w:rsid w:val="00537A96"/>
    <w:rsid w:val="005F3000"/>
    <w:rsid w:val="00BD4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13EB"/>
  <w15:chartTrackingRefBased/>
  <w15:docId w15:val="{6B552021-00BF-4C7D-B009-8746A22D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7A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5229</Characters>
  <Application>Microsoft Office Word</Application>
  <DocSecurity>4</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Montero</dc:creator>
  <cp:keywords/>
  <dc:description/>
  <cp:lastModifiedBy>Gibran Lopez</cp:lastModifiedBy>
  <cp:revision>2</cp:revision>
  <cp:lastPrinted>2020-04-08T23:11:00Z</cp:lastPrinted>
  <dcterms:created xsi:type="dcterms:W3CDTF">2021-06-22T16:00:00Z</dcterms:created>
  <dcterms:modified xsi:type="dcterms:W3CDTF">2021-06-22T16:00:00Z</dcterms:modified>
</cp:coreProperties>
</file>